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355D7A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C7344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355D7A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4256D65" w:rsidR="0056022A" w:rsidRPr="007C7344" w:rsidRDefault="00607C30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E27BAF" wp14:editId="6563B9E6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279400</wp:posOffset>
                      </wp:positionV>
                      <wp:extent cx="9144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6A90319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2pt" to="132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45D4441A" w:rsidR="0056022A" w:rsidRPr="007C7344" w:rsidRDefault="00607C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456D96" wp14:editId="2349DC4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279400</wp:posOffset>
                      </wp:positionV>
                      <wp:extent cx="2038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577C4069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2pt" to="209.1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B0Bzcn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355D7A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0674AE58" w:rsidR="0056022A" w:rsidRPr="00607C30" w:rsidRDefault="00996E8A" w:rsidP="00607C30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607C30">
              <w:rPr>
                <w:sz w:val="26"/>
                <w:szCs w:val="26"/>
              </w:rPr>
              <w:t xml:space="preserve">Số:   </w:t>
            </w:r>
            <w:r w:rsid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/</w:t>
            </w:r>
            <w:r w:rsidR="00650692" w:rsidRPr="00607C30">
              <w:rPr>
                <w:sz w:val="26"/>
                <w:szCs w:val="26"/>
              </w:rPr>
              <w:t>BVĐKSĐ</w:t>
            </w:r>
            <w:r w:rsidR="000132AF" w:rsidRPr="00607C30">
              <w:rPr>
                <w:sz w:val="26"/>
                <w:szCs w:val="26"/>
              </w:rPr>
              <w:t>-KD</w:t>
            </w:r>
          </w:p>
          <w:p w14:paraId="151B81FA" w14:textId="45510C8F" w:rsidR="003D4688" w:rsidRPr="00355D7A" w:rsidRDefault="00C0381A" w:rsidP="00355D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pt-BR"/>
              </w:rPr>
              <w:t>V/v yêu cầu báo giá</w:t>
            </w:r>
            <w:r w:rsidR="008A5403" w:rsidRPr="00A14036">
              <w:rPr>
                <w:sz w:val="26"/>
                <w:szCs w:val="26"/>
                <w:lang w:val="pt-BR"/>
              </w:rPr>
              <w:t xml:space="preserve">: </w:t>
            </w:r>
            <w:r>
              <w:rPr>
                <w:sz w:val="26"/>
                <w:szCs w:val="26"/>
                <w:lang w:val="pt-BR"/>
              </w:rPr>
              <w:t>T</w:t>
            </w:r>
            <w:r w:rsidR="00136B55">
              <w:rPr>
                <w:sz w:val="26"/>
                <w:szCs w:val="26"/>
                <w:lang w:val="pt-BR"/>
              </w:rPr>
              <w:t>es</w:t>
            </w:r>
            <w:r w:rsidR="0036582E">
              <w:rPr>
                <w:sz w:val="26"/>
                <w:szCs w:val="26"/>
                <w:lang w:val="pt-BR"/>
              </w:rPr>
              <w:t xml:space="preserve">t nhanh </w:t>
            </w:r>
            <w:r w:rsidR="00355D7A">
              <w:rPr>
                <w:sz w:val="26"/>
                <w:szCs w:val="26"/>
                <w:lang w:val="pt-BR"/>
              </w:rPr>
              <w:t xml:space="preserve">                </w:t>
            </w:r>
            <w:r w:rsidR="0036582E">
              <w:rPr>
                <w:sz w:val="26"/>
                <w:szCs w:val="26"/>
                <w:lang w:val="pt-BR"/>
              </w:rPr>
              <w:t>định tính Heroin-Codein</w:t>
            </w:r>
            <w:r w:rsidR="00540DFF">
              <w:rPr>
                <w:sz w:val="26"/>
                <w:szCs w:val="26"/>
                <w:lang w:val="pt-BR"/>
              </w:rPr>
              <w:t>e</w:t>
            </w:r>
            <w:r w:rsidR="00136B55">
              <w:rPr>
                <w:sz w:val="26"/>
                <w:szCs w:val="26"/>
                <w:lang w:val="pt-BR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560965" w14:textId="02734275" w:rsidR="0056022A" w:rsidRPr="00607C30" w:rsidRDefault="003C4410" w:rsidP="00607C30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607C30">
              <w:rPr>
                <w:i/>
                <w:iCs/>
                <w:sz w:val="26"/>
                <w:szCs w:val="26"/>
              </w:rPr>
              <w:t>Sa Đéc, ngày</w:t>
            </w:r>
            <w:r w:rsidR="00607C30">
              <w:rPr>
                <w:i/>
                <w:iCs/>
                <w:sz w:val="26"/>
                <w:szCs w:val="26"/>
              </w:rPr>
              <w:t xml:space="preserve">       </w:t>
            </w:r>
            <w:r w:rsidRPr="00607C30">
              <w:rPr>
                <w:i/>
                <w:iCs/>
                <w:sz w:val="26"/>
                <w:szCs w:val="26"/>
              </w:rPr>
              <w:t xml:space="preserve">tháng </w:t>
            </w:r>
            <w:r w:rsidR="00EB71A2">
              <w:rPr>
                <w:i/>
                <w:iCs/>
                <w:sz w:val="26"/>
                <w:szCs w:val="26"/>
              </w:rPr>
              <w:t>3</w:t>
            </w:r>
            <w:r w:rsidRPr="00607C30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607C30">
              <w:rPr>
                <w:i/>
                <w:iCs/>
                <w:sz w:val="26"/>
                <w:szCs w:val="26"/>
              </w:rPr>
              <w:t>202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  <w:tr w:rsidR="00607C30" w:rsidRPr="007C7344" w14:paraId="5593A5D7" w14:textId="77777777" w:rsidTr="00355D7A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41B84749" w14:textId="397E1528" w:rsidR="00607C30" w:rsidRPr="007C7344" w:rsidRDefault="00607C30" w:rsidP="00607C30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2F5BA1CA" w:rsidR="0056022A" w:rsidRPr="00607C30" w:rsidRDefault="00650692" w:rsidP="00607C30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</w:t>
      </w:r>
      <w:r w:rsidR="00CB0A9A" w:rsidRPr="00CB0A9A">
        <w:t xml:space="preserve">Mua </w:t>
      </w:r>
      <w:r w:rsidR="00136B55">
        <w:t>test nhanh định tính Heroin – Codein</w:t>
      </w:r>
      <w:r w:rsidR="00540DFF">
        <w:t>e</w:t>
      </w:r>
      <w:r w:rsidR="00136B55">
        <w:t xml:space="preserve"> </w:t>
      </w:r>
      <w:r w:rsidR="00CB0A9A" w:rsidRPr="00CB0A9A">
        <w:rPr>
          <w:lang w:val="vi-VN"/>
        </w:rPr>
        <w:t xml:space="preserve">của Bệnh viện Đa khoa Sa Đéc </w:t>
      </w:r>
      <w:r w:rsidR="00CB0A9A" w:rsidRPr="00CB0A9A">
        <w:t>năm 202</w:t>
      </w:r>
      <w:r w:rsidR="00CB0A9A" w:rsidRPr="00CB0A9A">
        <w:rPr>
          <w:lang w:val="vi-VN"/>
        </w:rPr>
        <w:t>5</w:t>
      </w:r>
      <w:r w:rsidR="00CB0A9A" w:rsidRPr="00CB0A9A">
        <w:t xml:space="preserve"> </w:t>
      </w:r>
      <w:r w:rsidR="00607C30">
        <w:t>-</w:t>
      </w:r>
      <w:r w:rsidR="00CB0A9A" w:rsidRPr="00CB0A9A">
        <w:t xml:space="preserve"> 202</w:t>
      </w:r>
      <w:r w:rsidR="00CB0A9A" w:rsidRPr="00CB0A9A">
        <w:rPr>
          <w:lang w:val="vi-VN"/>
        </w:rPr>
        <w:t>6</w:t>
      </w:r>
      <w:r w:rsidR="00CB0A9A">
        <w:rPr>
          <w:lang w:val="vi-VN"/>
        </w:rPr>
        <w:t xml:space="preserve"> </w:t>
      </w:r>
      <w:r w:rsidRPr="00CB0A9A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193346ED" w:rsidR="001B211C" w:rsidRPr="00607C30" w:rsidRDefault="001B211C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</w:t>
      </w:r>
      <w:r w:rsidR="00607C30">
        <w:rPr>
          <w:b w:val="0"/>
        </w:rPr>
        <w:t xml:space="preserve"> Khoa</w:t>
      </w:r>
      <w:r w:rsidRPr="007C7344">
        <w:rPr>
          <w:b w:val="0"/>
        </w:rPr>
        <w:t xml:space="preserve"> Dược; ĐT:</w:t>
      </w:r>
      <w:r w:rsidRPr="007C7344">
        <w:rPr>
          <w:b w:val="0"/>
          <w:lang w:val="vi-VN"/>
        </w:rPr>
        <w:t>0949.341036</w:t>
      </w:r>
      <w:r w:rsidR="00607C30">
        <w:rPr>
          <w:b w:val="0"/>
        </w:rPr>
        <w:t>.</w:t>
      </w:r>
    </w:p>
    <w:p w14:paraId="1259C49B" w14:textId="5E41B114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</w:t>
      </w:r>
      <w:r w:rsidR="00607C30">
        <w:rPr>
          <w:b w:val="0"/>
        </w:rPr>
        <w:t xml:space="preserve"> Khoa</w:t>
      </w:r>
      <w:r w:rsidR="000132AF" w:rsidRPr="007C7344">
        <w:rPr>
          <w:b w:val="0"/>
        </w:rPr>
        <w:t xml:space="preserve">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7C7344" w:rsidRDefault="00650692" w:rsidP="00607C30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6A60208" w:rsidR="0056022A" w:rsidRPr="00607C30" w:rsidRDefault="00650692" w:rsidP="00607C30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07C30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607C30" w:rsidRPr="00607C30">
        <w:rPr>
          <w:rStyle w:val="BodyTextChar"/>
          <w:iCs/>
          <w:spacing w:val="6"/>
          <w:lang w:eastAsia="vi-VN"/>
        </w:rPr>
        <w:t>.</w:t>
      </w:r>
      <w:r w:rsidR="00710066" w:rsidRPr="00607C30">
        <w:rPr>
          <w:rStyle w:val="BodyTextChar"/>
          <w:iCs/>
          <w:spacing w:val="6"/>
          <w:lang w:eastAsia="vi-VN"/>
        </w:rPr>
        <w:t xml:space="preserve"> </w:t>
      </w:r>
      <w:r w:rsidR="00607C30" w:rsidRPr="00607C30">
        <w:rPr>
          <w:rStyle w:val="BodyTextChar"/>
          <w:iCs/>
          <w:spacing w:val="6"/>
          <w:lang w:eastAsia="vi-VN"/>
        </w:rPr>
        <w:t>S</w:t>
      </w:r>
      <w:r w:rsidR="00710066" w:rsidRPr="00607C30">
        <w:rPr>
          <w:rStyle w:val="BodyTextChar"/>
          <w:iCs/>
          <w:spacing w:val="6"/>
          <w:lang w:eastAsia="vi-VN"/>
        </w:rPr>
        <w:t>ố</w:t>
      </w:r>
      <w:r w:rsidRPr="00607C30">
        <w:rPr>
          <w:rStyle w:val="BodyTextChar"/>
          <w:iCs/>
          <w:spacing w:val="6"/>
          <w:lang w:eastAsia="vi-VN"/>
        </w:rPr>
        <w:t xml:space="preserve"> 153</w:t>
      </w:r>
      <w:r w:rsidR="000132AF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iCs/>
          <w:spacing w:val="6"/>
          <w:lang w:eastAsia="vi-VN"/>
        </w:rPr>
        <w:t>Đ</w:t>
      </w:r>
      <w:r w:rsidR="000132AF" w:rsidRPr="00607C30">
        <w:rPr>
          <w:rStyle w:val="BodyTextChar"/>
          <w:iCs/>
          <w:spacing w:val="6"/>
          <w:lang w:eastAsia="vi-VN"/>
        </w:rPr>
        <w:t>ường</w:t>
      </w:r>
      <w:r w:rsidRPr="00607C30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Phường 2</w:t>
      </w:r>
      <w:r w:rsidR="00710066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color w:val="000000"/>
          <w:spacing w:val="6"/>
          <w:lang w:eastAsia="vi-VN"/>
        </w:rPr>
        <w:t>thành phố</w:t>
      </w:r>
      <w:r w:rsidRPr="00607C30">
        <w:rPr>
          <w:rStyle w:val="BodyTextChar"/>
          <w:iCs/>
          <w:spacing w:val="6"/>
          <w:lang w:eastAsia="vi-VN"/>
        </w:rPr>
        <w:t xml:space="preserve"> Sa Đéc</w:t>
      </w:r>
      <w:r w:rsidR="00710066" w:rsidRPr="00607C30">
        <w:rPr>
          <w:rStyle w:val="BodyTextChar"/>
          <w:iCs/>
          <w:spacing w:val="6"/>
          <w:lang w:eastAsia="vi-VN"/>
        </w:rPr>
        <w:t>, tỉnh</w:t>
      </w:r>
      <w:r w:rsidRPr="00607C30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607C30">
        <w:rPr>
          <w:rStyle w:val="BodyTextChar"/>
          <w:iCs/>
          <w:spacing w:val="6"/>
          <w:lang w:eastAsia="vi-VN"/>
        </w:rPr>
        <w:t>.</w:t>
      </w:r>
    </w:p>
    <w:p w14:paraId="2C081F9B" w14:textId="33B409D0" w:rsidR="0056022A" w:rsidRPr="00636070" w:rsidRDefault="00650692" w:rsidP="00607C30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636070">
        <w:rPr>
          <w:rStyle w:val="BodyTextChar"/>
          <w:lang w:eastAsia="vi-VN"/>
        </w:rPr>
        <w:t xml:space="preserve">4. Thời hạn tiếp nhận báo giá: </w:t>
      </w:r>
      <w:r w:rsidRPr="00607C30">
        <w:rPr>
          <w:rStyle w:val="BodyTextChar"/>
          <w:b/>
          <w:lang w:eastAsia="vi-VN"/>
        </w:rPr>
        <w:t xml:space="preserve">Từ </w:t>
      </w:r>
      <w:r w:rsidR="00636070" w:rsidRPr="00607C30">
        <w:rPr>
          <w:rStyle w:val="BodyTextChar"/>
          <w:b/>
          <w:lang w:eastAsia="vi-VN"/>
        </w:rPr>
        <w:t>1</w:t>
      </w:r>
      <w:r w:rsidR="00C0381A">
        <w:rPr>
          <w:rStyle w:val="BodyTextChar"/>
          <w:b/>
          <w:lang w:eastAsia="vi-VN"/>
        </w:rPr>
        <w:t>5</w:t>
      </w:r>
      <w:r w:rsidRPr="00607C30">
        <w:rPr>
          <w:rStyle w:val="BodyTextChar"/>
          <w:b/>
          <w:lang w:eastAsia="vi-VN"/>
        </w:rPr>
        <w:t>h</w:t>
      </w:r>
      <w:r w:rsidR="00607C30" w:rsidRP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C0381A">
        <w:rPr>
          <w:rStyle w:val="BodyTextChar"/>
          <w:b/>
          <w:lang w:eastAsia="vi-VN"/>
        </w:rPr>
        <w:t>3</w:t>
      </w:r>
      <w:r w:rsidR="00136B55">
        <w:rPr>
          <w:rStyle w:val="BodyTextChar"/>
          <w:b/>
          <w:lang w:eastAsia="vi-VN"/>
        </w:rPr>
        <w:t>1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C0381A">
        <w:rPr>
          <w:rStyle w:val="BodyTextChar"/>
          <w:b/>
          <w:lang w:eastAsia="vi-VN"/>
        </w:rPr>
        <w:t>3</w:t>
      </w:r>
      <w:r w:rsidRPr="00607C30">
        <w:rPr>
          <w:rStyle w:val="BodyTextChar"/>
          <w:b/>
          <w:lang w:eastAsia="vi-VN"/>
        </w:rPr>
        <w:t xml:space="preserve"> năm </w:t>
      </w:r>
      <w:r w:rsidR="00EA2830" w:rsidRPr="00607C30">
        <w:rPr>
          <w:rStyle w:val="BodyTextChar"/>
          <w:b/>
          <w:lang w:eastAsia="vi-VN"/>
        </w:rPr>
        <w:t>202</w:t>
      </w:r>
      <w:r w:rsidR="00527413" w:rsidRPr="00607C30">
        <w:rPr>
          <w:rStyle w:val="BodyTextChar"/>
          <w:b/>
          <w:lang w:val="vi-VN" w:eastAsia="vi-VN"/>
        </w:rPr>
        <w:t>5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>đến trước 17h</w:t>
      </w:r>
      <w:r w:rsid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1</w:t>
      </w:r>
      <w:r w:rsidR="00C0381A">
        <w:rPr>
          <w:rStyle w:val="BodyTextChar"/>
          <w:b/>
          <w:lang w:eastAsia="vi-VN"/>
        </w:rPr>
        <w:t>0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136B55">
        <w:rPr>
          <w:rStyle w:val="BodyTextChar"/>
          <w:b/>
          <w:lang w:eastAsia="vi-VN"/>
        </w:rPr>
        <w:t>4</w:t>
      </w:r>
      <w:r w:rsidRPr="00607C30">
        <w:rPr>
          <w:rStyle w:val="BodyTextChar"/>
          <w:b/>
          <w:lang w:eastAsia="vi-VN"/>
        </w:rPr>
        <w:t xml:space="preserve"> năm 202</w:t>
      </w:r>
      <w:r w:rsidR="00527413" w:rsidRPr="00607C30">
        <w:rPr>
          <w:rStyle w:val="BodyTextChar"/>
          <w:b/>
          <w:lang w:val="vi-VN" w:eastAsia="vi-VN"/>
        </w:rPr>
        <w:t>5</w:t>
      </w:r>
      <w:r w:rsidR="004C5B74" w:rsidRPr="00607C30">
        <w:rPr>
          <w:rStyle w:val="BodyTextChar"/>
          <w:b/>
          <w:lang w:eastAsia="vi-VN"/>
        </w:rPr>
        <w:t>.</w:t>
      </w:r>
    </w:p>
    <w:p w14:paraId="4EB14DA2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476E00F6" w:rsidR="0056022A" w:rsidRPr="00636070" w:rsidRDefault="00650692" w:rsidP="00607C30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 xml:space="preserve">5. Thời hạn có hiệu lực của báo giá: Tối thiểu </w:t>
      </w:r>
      <w:r w:rsidRPr="00636070">
        <w:rPr>
          <w:rStyle w:val="BodyTextChar"/>
          <w:lang w:eastAsia="vi-VN"/>
        </w:rPr>
        <w:t>1</w:t>
      </w:r>
      <w:r w:rsidR="00CD70D7">
        <w:rPr>
          <w:rStyle w:val="BodyTextChar"/>
          <w:lang w:eastAsia="vi-VN"/>
        </w:rPr>
        <w:t>2</w:t>
      </w:r>
      <w:r w:rsidRPr="00636070">
        <w:rPr>
          <w:rStyle w:val="BodyTextChar"/>
          <w:lang w:eastAsia="vi-VN"/>
        </w:rPr>
        <w:t>0 ngày</w:t>
      </w:r>
      <w:r w:rsidRPr="00636070">
        <w:rPr>
          <w:rStyle w:val="BodyTextChar"/>
          <w:iCs/>
          <w:lang w:eastAsia="vi-VN"/>
        </w:rPr>
        <w:t>,</w:t>
      </w:r>
      <w:r w:rsidRPr="00636070">
        <w:rPr>
          <w:rStyle w:val="BodyTextChar"/>
          <w:lang w:eastAsia="vi-VN"/>
        </w:rPr>
        <w:t xml:space="preserve"> kể từ ngày</w:t>
      </w:r>
      <w:r w:rsidR="00EA2830" w:rsidRPr="00636070">
        <w:rPr>
          <w:rStyle w:val="BodyTextChar"/>
          <w:lang w:eastAsia="vi-VN"/>
        </w:rPr>
        <w:t xml:space="preserve"> </w:t>
      </w:r>
      <w:r w:rsidR="00527413" w:rsidRPr="00636070">
        <w:rPr>
          <w:rStyle w:val="BodyTextChar"/>
          <w:lang w:val="vi-VN" w:eastAsia="vi-VN"/>
        </w:rPr>
        <w:t>1</w:t>
      </w:r>
      <w:r w:rsidR="00C0381A">
        <w:rPr>
          <w:rStyle w:val="BodyTextChar"/>
          <w:lang w:eastAsia="vi-VN"/>
        </w:rPr>
        <w:t>0</w:t>
      </w:r>
      <w:r w:rsidRPr="00636070">
        <w:rPr>
          <w:rStyle w:val="BodyTextChar"/>
          <w:lang w:eastAsia="vi-VN"/>
        </w:rPr>
        <w:t xml:space="preserve">   tháng </w:t>
      </w:r>
      <w:r w:rsidR="00527413" w:rsidRPr="00636070">
        <w:rPr>
          <w:rStyle w:val="BodyTextChar"/>
          <w:lang w:val="vi-VN" w:eastAsia="vi-VN"/>
        </w:rPr>
        <w:t>0</w:t>
      </w:r>
      <w:r w:rsidR="00136B55">
        <w:rPr>
          <w:rStyle w:val="BodyTextChar"/>
          <w:lang w:eastAsia="vi-VN"/>
        </w:rPr>
        <w:t>4</w:t>
      </w:r>
      <w:r w:rsidRPr="00636070">
        <w:rPr>
          <w:rStyle w:val="BodyTextChar"/>
          <w:lang w:eastAsia="vi-VN"/>
        </w:rPr>
        <w:t xml:space="preserve"> năm 202</w:t>
      </w:r>
      <w:r w:rsidR="00527413" w:rsidRPr="00636070">
        <w:rPr>
          <w:rStyle w:val="BodyTextChar"/>
          <w:lang w:val="vi-VN" w:eastAsia="vi-VN"/>
        </w:rPr>
        <w:t>5</w:t>
      </w:r>
      <w:r w:rsidRPr="00636070">
        <w:rPr>
          <w:rStyle w:val="BodyTextChar"/>
          <w:iCs/>
          <w:lang w:eastAsia="vi-VN"/>
        </w:rPr>
        <w:t>.</w:t>
      </w:r>
    </w:p>
    <w:p w14:paraId="1AD47F99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7C7344">
        <w:rPr>
          <w:rStyle w:val="BodyTextChar"/>
          <w:b/>
          <w:bCs/>
          <w:lang w:eastAsia="vi-VN"/>
        </w:rPr>
        <w:t>II. Nội dung yêu cầu báo giá:</w:t>
      </w:r>
    </w:p>
    <w:p w14:paraId="3B1C1107" w14:textId="77777777" w:rsidR="00CD70D7" w:rsidRDefault="004C5B74" w:rsidP="00CD70D7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</w:p>
    <w:p w14:paraId="1CE942FC" w14:textId="77777777" w:rsidR="00355D7A" w:rsidRPr="00355D7A" w:rsidRDefault="00355D7A" w:rsidP="00CD70D7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3685"/>
        <w:gridCol w:w="889"/>
        <w:gridCol w:w="1237"/>
        <w:gridCol w:w="993"/>
      </w:tblGrid>
      <w:tr w:rsidR="00CD70D7" w:rsidRPr="007C7344" w14:paraId="54AD1CE6" w14:textId="77777777" w:rsidTr="00495921">
        <w:trPr>
          <w:trHeight w:val="81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D0B28FE" w14:textId="77777777" w:rsidR="00CD70D7" w:rsidRPr="007C7344" w:rsidRDefault="00CD70D7" w:rsidP="00495921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030787B" w14:textId="77777777" w:rsidR="00CD70D7" w:rsidRPr="007C7344" w:rsidRDefault="00CD70D7" w:rsidP="00495921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8AE937" w14:textId="77777777" w:rsidR="00CD70D7" w:rsidRPr="00E60C5B" w:rsidRDefault="00CD70D7" w:rsidP="00495921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89" w:type="dxa"/>
            <w:vAlign w:val="center"/>
          </w:tcPr>
          <w:p w14:paraId="5221B759" w14:textId="77777777" w:rsidR="00CD70D7" w:rsidRPr="00C15F30" w:rsidRDefault="00CD70D7" w:rsidP="00495921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237" w:type="dxa"/>
            <w:vAlign w:val="center"/>
          </w:tcPr>
          <w:p w14:paraId="7283BF66" w14:textId="77777777" w:rsidR="00CD70D7" w:rsidRDefault="00CD70D7" w:rsidP="00495921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 xml:space="preserve">Số lượng </w:t>
            </w:r>
          </w:p>
        </w:tc>
        <w:tc>
          <w:tcPr>
            <w:tcW w:w="993" w:type="dxa"/>
            <w:vAlign w:val="center"/>
          </w:tcPr>
          <w:p w14:paraId="4352A5BD" w14:textId="77777777" w:rsidR="00CD70D7" w:rsidRPr="007C7344" w:rsidRDefault="00CD70D7" w:rsidP="00495921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CD70D7" w:rsidRPr="00257D9A" w14:paraId="0E071B6A" w14:textId="77777777" w:rsidTr="00495921">
        <w:trPr>
          <w:trHeight w:val="864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03A8A36" w14:textId="77777777" w:rsidR="00CD70D7" w:rsidRPr="00E52180" w:rsidRDefault="00CD70D7" w:rsidP="00495921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0D4E740" w14:textId="695A80B9" w:rsidR="00CD70D7" w:rsidRPr="00E669C8" w:rsidRDefault="00CD70D7" w:rsidP="0049592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nhanh định tính Codein</w:t>
            </w:r>
            <w:r w:rsidR="00540DFF">
              <w:rPr>
                <w:sz w:val="24"/>
                <w:szCs w:val="24"/>
              </w:rPr>
              <w:t>e</w:t>
            </w:r>
            <w:r w:rsidRPr="00E669C8">
              <w:rPr>
                <w:sz w:val="24"/>
                <w:szCs w:val="24"/>
              </w:rPr>
              <w:t xml:space="preserve"> trong nước tiểu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B84D7A" w14:textId="77777777" w:rsidR="00CD70D7" w:rsidRPr="00E669C8" w:rsidRDefault="00CD70D7" w:rsidP="00495921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 w:rsidRPr="00E669C8">
              <w:rPr>
                <w:bCs/>
                <w:iCs/>
                <w:sz w:val="24"/>
                <w:szCs w:val="24"/>
              </w:rPr>
              <w:t>Ngưỡng phát hiện COD 300ng/ml, độ nhạy 99,9%, độ đặc hiệu 99,9%</w:t>
            </w:r>
          </w:p>
        </w:tc>
        <w:tc>
          <w:tcPr>
            <w:tcW w:w="889" w:type="dxa"/>
            <w:vAlign w:val="center"/>
          </w:tcPr>
          <w:p w14:paraId="2381293F" w14:textId="77777777" w:rsidR="00CD70D7" w:rsidRPr="00E669C8" w:rsidRDefault="00CD70D7" w:rsidP="0049592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669C8"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1237" w:type="dxa"/>
            <w:vAlign w:val="center"/>
          </w:tcPr>
          <w:p w14:paraId="2D182D54" w14:textId="77777777" w:rsidR="00CD70D7" w:rsidRPr="00E669C8" w:rsidRDefault="00CD70D7" w:rsidP="00495921">
            <w:pPr>
              <w:spacing w:before="120" w:after="120"/>
              <w:jc w:val="center"/>
              <w:rPr>
                <w:bCs/>
                <w:iCs/>
                <w:sz w:val="24"/>
                <w:szCs w:val="24"/>
              </w:rPr>
            </w:pPr>
            <w:r w:rsidRPr="00E669C8"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14:paraId="138FC862" w14:textId="77777777" w:rsidR="00CD70D7" w:rsidRPr="00E52180" w:rsidRDefault="00CD70D7" w:rsidP="00495921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  <w:tr w:rsidR="00CD70D7" w:rsidRPr="00257D9A" w14:paraId="448EED2C" w14:textId="77777777" w:rsidTr="00495921">
        <w:trPr>
          <w:trHeight w:val="864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1B373BF" w14:textId="77777777" w:rsidR="00CD70D7" w:rsidRPr="00E52180" w:rsidRDefault="00CD70D7" w:rsidP="00495921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C6C2FBE" w14:textId="77777777" w:rsidR="00CD70D7" w:rsidRPr="00E669C8" w:rsidRDefault="00CD70D7" w:rsidP="00495921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 w:rsidRPr="00E669C8">
              <w:rPr>
                <w:bCs/>
                <w:iCs/>
                <w:sz w:val="24"/>
                <w:szCs w:val="24"/>
              </w:rPr>
              <w:t>Test nhanh định tính Heroin trong nước tiểu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705F31" w14:textId="77777777" w:rsidR="00CD70D7" w:rsidRPr="00E669C8" w:rsidRDefault="00CD70D7" w:rsidP="00495921">
            <w:pPr>
              <w:spacing w:before="120" w:after="120"/>
              <w:rPr>
                <w:bCs/>
                <w:iCs/>
                <w:sz w:val="24"/>
                <w:szCs w:val="24"/>
                <w:lang w:val="vi-VN"/>
              </w:rPr>
            </w:pPr>
            <w:r w:rsidRPr="00E669C8">
              <w:rPr>
                <w:bCs/>
                <w:iCs/>
                <w:sz w:val="24"/>
                <w:szCs w:val="24"/>
              </w:rPr>
              <w:t>Ngưỡng phát hiện Heroin 10ng/ml, độ nhạy 99,9%, độ đặc hiệu 99,9%</w:t>
            </w:r>
          </w:p>
        </w:tc>
        <w:tc>
          <w:tcPr>
            <w:tcW w:w="889" w:type="dxa"/>
            <w:vAlign w:val="center"/>
          </w:tcPr>
          <w:p w14:paraId="5B00CC77" w14:textId="77777777" w:rsidR="00CD70D7" w:rsidRPr="00E669C8" w:rsidRDefault="00CD70D7" w:rsidP="00495921">
            <w:pPr>
              <w:spacing w:before="120" w:after="120"/>
              <w:jc w:val="center"/>
              <w:rPr>
                <w:bCs/>
                <w:iCs/>
                <w:sz w:val="24"/>
                <w:szCs w:val="24"/>
              </w:rPr>
            </w:pPr>
            <w:r w:rsidRPr="00E669C8"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1237" w:type="dxa"/>
            <w:vAlign w:val="center"/>
          </w:tcPr>
          <w:p w14:paraId="48B0E033" w14:textId="77777777" w:rsidR="00CD70D7" w:rsidRPr="00E669C8" w:rsidRDefault="00CD70D7" w:rsidP="0049592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669C8"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14:paraId="4495DEBE" w14:textId="77777777" w:rsidR="00CD70D7" w:rsidRPr="00E52180" w:rsidRDefault="00CD70D7" w:rsidP="00495921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</w:tbl>
    <w:p w14:paraId="7721FDDC" w14:textId="3EC6006D" w:rsidR="0056022A" w:rsidRPr="007C7344" w:rsidRDefault="00D6200E" w:rsidP="00CD70D7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607C30">
        <w:rPr>
          <w:rStyle w:val="BodyTextChar"/>
          <w:color w:val="000000"/>
          <w:lang w:eastAsia="vi-VN"/>
        </w:rPr>
        <w:t xml:space="preserve"> -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607C30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607C30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607C30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628EB4B3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C7574A">
        <w:rPr>
          <w:b w:val="0"/>
        </w:rPr>
        <w:t xml:space="preserve">iao hàng trong </w:t>
      </w:r>
      <w:r w:rsidRPr="007C7344">
        <w:rPr>
          <w:b w:val="0"/>
        </w:rPr>
        <w:t>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74D14232" w:rsidR="0056022A" w:rsidRPr="00470DEB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chọn </w:t>
      </w:r>
      <w:r w:rsidRPr="00470DEB">
        <w:rPr>
          <w:rStyle w:val="BodyTextChar"/>
          <w:lang w:eastAsia="vi-VN"/>
        </w:rPr>
        <w:t xml:space="preserve">nhà thầu: </w:t>
      </w:r>
      <w:r w:rsidR="00607C30">
        <w:rPr>
          <w:rStyle w:val="BodyTextChar"/>
          <w:lang w:eastAsia="vi-VN"/>
        </w:rPr>
        <w:t>Quý</w:t>
      </w:r>
      <w:r w:rsidRPr="00470DEB">
        <w:rPr>
          <w:rStyle w:val="BodyTextChar"/>
          <w:lang w:eastAsia="vi-VN"/>
        </w:rPr>
        <w:t xml:space="preserve"> </w:t>
      </w:r>
      <w:r w:rsidR="00922B17" w:rsidRPr="00470DEB">
        <w:rPr>
          <w:rStyle w:val="BodyTextChar"/>
          <w:lang w:val="vi-VN" w:eastAsia="vi-VN"/>
        </w:rPr>
        <w:t>II</w:t>
      </w:r>
      <w:r w:rsidR="00607C30">
        <w:rPr>
          <w:rStyle w:val="BodyTextChar"/>
          <w:lang w:eastAsia="vi-VN"/>
        </w:rPr>
        <w:t xml:space="preserve"> năm </w:t>
      </w:r>
      <w:r w:rsidRPr="00470DEB">
        <w:rPr>
          <w:rStyle w:val="BodyTextChar"/>
          <w:lang w:eastAsia="vi-VN"/>
        </w:rPr>
        <w:t>202</w:t>
      </w:r>
      <w:r w:rsidR="00812FEF" w:rsidRPr="00470DEB">
        <w:rPr>
          <w:rStyle w:val="BodyTextChar"/>
          <w:lang w:val="vi-VN" w:eastAsia="vi-VN"/>
        </w:rPr>
        <w:t>5</w:t>
      </w:r>
      <w:r w:rsidR="000132AF" w:rsidRPr="00470DEB">
        <w:rPr>
          <w:rStyle w:val="BodyTextChar"/>
          <w:lang w:eastAsia="vi-VN"/>
        </w:rPr>
        <w:t>.</w:t>
      </w:r>
    </w:p>
    <w:p w14:paraId="2058C47F" w14:textId="77777777" w:rsidR="00CD70D7" w:rsidRPr="00CD70D7" w:rsidRDefault="00CD70D7" w:rsidP="00CD70D7">
      <w:pPr>
        <w:spacing w:before="120" w:after="120"/>
        <w:ind w:firstLine="720"/>
        <w:jc w:val="both"/>
        <w:rPr>
          <w:lang w:val="vi-VN" w:eastAsia="vi-VN"/>
        </w:rPr>
      </w:pPr>
      <w:r w:rsidRPr="00CD70D7">
        <w:rPr>
          <w:lang w:eastAsia="vi-VN"/>
        </w:rPr>
        <w:t>4. Dự kiến về các điều khoản tạm ứng, thanh toán hợp đồng:</w:t>
      </w:r>
    </w:p>
    <w:p w14:paraId="0876FA2E" w14:textId="77777777" w:rsidR="00CD70D7" w:rsidRPr="00CD70D7" w:rsidRDefault="00CD70D7" w:rsidP="00CD70D7">
      <w:pPr>
        <w:spacing w:before="120" w:after="120"/>
        <w:ind w:firstLine="720"/>
        <w:jc w:val="both"/>
        <w:rPr>
          <w:lang w:val="vi-VN"/>
        </w:rPr>
      </w:pPr>
      <w:r w:rsidRPr="00CD70D7">
        <w:rPr>
          <w:lang w:val="vi-VN" w:eastAsia="vi-VN"/>
        </w:rPr>
        <w:t xml:space="preserve">- </w:t>
      </w:r>
      <w:r w:rsidRPr="00CD70D7">
        <w:t>Ngu</w:t>
      </w:r>
      <w:r w:rsidRPr="00CD70D7">
        <w:rPr>
          <w:rFonts w:cs="Arial"/>
        </w:rPr>
        <w:t>ồ</w:t>
      </w:r>
      <w:r w:rsidRPr="00CD70D7">
        <w:t>n v</w:t>
      </w:r>
      <w:r w:rsidRPr="00CD70D7">
        <w:rPr>
          <w:rFonts w:cs="Arial"/>
        </w:rPr>
        <w:t>ố</w:t>
      </w:r>
      <w:r w:rsidRPr="00CD70D7">
        <w:t>n: Ngu</w:t>
      </w:r>
      <w:r w:rsidRPr="00CD70D7">
        <w:rPr>
          <w:rFonts w:cs="Arial"/>
        </w:rPr>
        <w:t>ồ</w:t>
      </w:r>
      <w:r w:rsidRPr="00CD70D7">
        <w:t>n thu d</w:t>
      </w:r>
      <w:r w:rsidRPr="00CD70D7">
        <w:rPr>
          <w:rFonts w:cs="Arial"/>
        </w:rPr>
        <w:t>ị</w:t>
      </w:r>
      <w:r w:rsidRPr="00CD70D7">
        <w:t>ch v</w:t>
      </w:r>
      <w:r w:rsidRPr="00CD70D7">
        <w:rPr>
          <w:rFonts w:cs="Arial"/>
        </w:rPr>
        <w:t>ụ</w:t>
      </w:r>
      <w:r w:rsidRPr="00CD70D7">
        <w:t xml:space="preserve"> kh</w:t>
      </w:r>
      <w:r w:rsidRPr="00CD70D7">
        <w:rPr>
          <w:rFonts w:cs=".VnTime"/>
        </w:rPr>
        <w:t>á</w:t>
      </w:r>
      <w:r w:rsidRPr="00CD70D7">
        <w:t>m b</w:t>
      </w:r>
      <w:r w:rsidRPr="00CD70D7">
        <w:rPr>
          <w:rFonts w:cs="Arial"/>
        </w:rPr>
        <w:t>ệ</w:t>
      </w:r>
      <w:r w:rsidRPr="00CD70D7">
        <w:t>nh, ch</w:t>
      </w:r>
      <w:r w:rsidRPr="00CD70D7">
        <w:rPr>
          <w:rFonts w:cs="Arial"/>
        </w:rPr>
        <w:t>ữ</w:t>
      </w:r>
      <w:r w:rsidRPr="00CD70D7">
        <w:t>a b</w:t>
      </w:r>
      <w:r w:rsidRPr="00CD70D7">
        <w:rPr>
          <w:rFonts w:cs="Arial"/>
        </w:rPr>
        <w:t>ệ</w:t>
      </w:r>
      <w:r w:rsidRPr="00CD70D7">
        <w:t>nh.</w:t>
      </w:r>
    </w:p>
    <w:p w14:paraId="57687979" w14:textId="4A8D6188" w:rsidR="00CD70D7" w:rsidRPr="00CD70D7" w:rsidRDefault="00CD70D7" w:rsidP="00CD70D7">
      <w:pPr>
        <w:spacing w:before="120" w:after="120"/>
        <w:ind w:firstLine="720"/>
        <w:jc w:val="both"/>
        <w:rPr>
          <w:lang w:val="vi-VN" w:eastAsia="vi-VN"/>
        </w:rPr>
      </w:pPr>
      <w:r w:rsidRPr="00CD70D7">
        <w:rPr>
          <w:lang w:val="vi-VN"/>
        </w:rPr>
        <w:t xml:space="preserve">- </w:t>
      </w:r>
      <w:r w:rsidRPr="00CD70D7">
        <w:t>Lo</w:t>
      </w:r>
      <w:r w:rsidRPr="00CD70D7">
        <w:rPr>
          <w:rFonts w:cs="Arial"/>
        </w:rPr>
        <w:t>ạ</w:t>
      </w:r>
      <w:r w:rsidRPr="00CD70D7">
        <w:t>i h</w:t>
      </w:r>
      <w:r w:rsidRPr="00CD70D7">
        <w:rPr>
          <w:rFonts w:cs="Arial"/>
        </w:rPr>
        <w:t>ợ</w:t>
      </w:r>
      <w:r w:rsidRPr="00CD70D7">
        <w:t xml:space="preserve">p </w:t>
      </w:r>
      <w:r w:rsidRPr="00CD70D7">
        <w:rPr>
          <w:rFonts w:cs="Arial"/>
        </w:rPr>
        <w:t>đồ</w:t>
      </w:r>
      <w:r w:rsidRPr="00CD70D7">
        <w:t xml:space="preserve">ng: </w:t>
      </w:r>
      <w:r w:rsidR="00355D7A">
        <w:t>T</w:t>
      </w:r>
      <w:r w:rsidRPr="00CD70D7">
        <w:rPr>
          <w:lang w:val="vi-VN"/>
        </w:rPr>
        <w:t>rọn gói</w:t>
      </w:r>
      <w:r w:rsidRPr="00CD70D7">
        <w:t>.</w:t>
      </w:r>
    </w:p>
    <w:p w14:paraId="5E08EABA" w14:textId="77777777" w:rsidR="00CD70D7" w:rsidRPr="00CD70D7" w:rsidRDefault="00CD70D7" w:rsidP="00CD70D7">
      <w:pPr>
        <w:spacing w:before="120" w:after="120"/>
        <w:ind w:firstLine="720"/>
        <w:jc w:val="both"/>
        <w:rPr>
          <w:b/>
          <w:lang w:val="vi-VN" w:eastAsia="vi-VN"/>
        </w:rPr>
      </w:pPr>
      <w:r w:rsidRPr="00CD70D7">
        <w:rPr>
          <w:lang w:val="vi-VN"/>
        </w:rPr>
        <w:t xml:space="preserve">- </w:t>
      </w:r>
      <w:r w:rsidRPr="00CD70D7">
        <w:t>Th</w:t>
      </w:r>
      <w:r w:rsidRPr="00CD70D7">
        <w:rPr>
          <w:rFonts w:cs="Arial"/>
        </w:rPr>
        <w:t>ờ</w:t>
      </w:r>
      <w:r w:rsidRPr="00CD70D7">
        <w:t>i gian th</w:t>
      </w:r>
      <w:r w:rsidRPr="00CD70D7">
        <w:rPr>
          <w:rFonts w:cs="Arial"/>
        </w:rPr>
        <w:t>ự</w:t>
      </w:r>
      <w:r w:rsidRPr="00CD70D7">
        <w:t>c hi</w:t>
      </w:r>
      <w:r w:rsidRPr="00CD70D7">
        <w:rPr>
          <w:rFonts w:cs="Arial"/>
        </w:rPr>
        <w:t>ệ</w:t>
      </w:r>
      <w:r w:rsidRPr="00CD70D7">
        <w:t>n h</w:t>
      </w:r>
      <w:r w:rsidRPr="00CD70D7">
        <w:rPr>
          <w:rFonts w:cs="Arial"/>
        </w:rPr>
        <w:t>ợ</w:t>
      </w:r>
      <w:r w:rsidRPr="00CD70D7">
        <w:t xml:space="preserve">p </w:t>
      </w:r>
      <w:r w:rsidRPr="00CD70D7">
        <w:rPr>
          <w:rFonts w:cs="Arial"/>
        </w:rPr>
        <w:t>đồ</w:t>
      </w:r>
      <w:r w:rsidRPr="00CD70D7">
        <w:t>ng: 30 ng</w:t>
      </w:r>
      <w:r w:rsidRPr="00CD70D7">
        <w:rPr>
          <w:rFonts w:cs="Arial"/>
        </w:rPr>
        <w:t>à</w:t>
      </w:r>
      <w:r w:rsidRPr="00CD70D7">
        <w:t>y, k</w:t>
      </w:r>
      <w:r w:rsidRPr="00CD70D7">
        <w:rPr>
          <w:rFonts w:cs="Arial"/>
        </w:rPr>
        <w:t>ể</w:t>
      </w:r>
      <w:r w:rsidRPr="00CD70D7">
        <w:t xml:space="preserve"> t</w:t>
      </w:r>
      <w:r w:rsidRPr="00CD70D7">
        <w:rPr>
          <w:rFonts w:cs="Arial"/>
        </w:rPr>
        <w:t>ừ</w:t>
      </w:r>
      <w:r w:rsidRPr="00CD70D7">
        <w:t xml:space="preserve"> ng</w:t>
      </w:r>
      <w:r w:rsidRPr="00CD70D7">
        <w:rPr>
          <w:rFonts w:cs="Arial"/>
        </w:rPr>
        <w:t>à</w:t>
      </w:r>
      <w:r w:rsidRPr="00CD70D7">
        <w:t>y h</w:t>
      </w:r>
      <w:r w:rsidRPr="00CD70D7">
        <w:rPr>
          <w:rFonts w:cs="Arial"/>
        </w:rPr>
        <w:t>ợ</w:t>
      </w:r>
      <w:r w:rsidRPr="00CD70D7">
        <w:t xml:space="preserve">p </w:t>
      </w:r>
      <w:r w:rsidRPr="00CD70D7">
        <w:rPr>
          <w:rFonts w:cs="Arial"/>
        </w:rPr>
        <w:t>đồ</w:t>
      </w:r>
      <w:r w:rsidRPr="00CD70D7">
        <w:t>ng c</w:t>
      </w:r>
      <w:r w:rsidRPr="00CD70D7">
        <w:rPr>
          <w:rFonts w:cs=".VnTime"/>
        </w:rPr>
        <w:t>ó</w:t>
      </w:r>
      <w:r w:rsidRPr="00CD70D7">
        <w:t xml:space="preserve"> hi</w:t>
      </w:r>
      <w:r w:rsidRPr="00CD70D7">
        <w:rPr>
          <w:rFonts w:cs="Arial"/>
        </w:rPr>
        <w:t>ệ</w:t>
      </w:r>
      <w:r w:rsidRPr="00CD70D7">
        <w:t>u l</w:t>
      </w:r>
      <w:r w:rsidRPr="00CD70D7">
        <w:rPr>
          <w:rFonts w:cs="Arial"/>
        </w:rPr>
        <w:t>ự</w:t>
      </w:r>
      <w:r w:rsidRPr="00CD70D7">
        <w:t>c</w:t>
      </w:r>
    </w:p>
    <w:p w14:paraId="1721BE42" w14:textId="77777777" w:rsidR="00CD70D7" w:rsidRPr="00CD70D7" w:rsidRDefault="00CD70D7" w:rsidP="00CD70D7">
      <w:pPr>
        <w:widowControl w:val="0"/>
        <w:spacing w:before="120"/>
        <w:ind w:firstLine="720"/>
        <w:jc w:val="both"/>
        <w:rPr>
          <w:lang w:eastAsia="vi-VN"/>
        </w:rPr>
      </w:pPr>
      <w:r w:rsidRPr="00CD70D7">
        <w:rPr>
          <w:lang w:eastAsia="vi-VN"/>
        </w:rPr>
        <w:t xml:space="preserve">- </w:t>
      </w:r>
      <w:r w:rsidRPr="00CD70D7">
        <w:t>Chuyển khoản và thanh toán theo tiến độ.</w:t>
      </w:r>
    </w:p>
    <w:p w14:paraId="048CB7E8" w14:textId="77777777" w:rsidR="00CD70D7" w:rsidRPr="00CD70D7" w:rsidRDefault="00CD70D7" w:rsidP="00CD70D7">
      <w:pPr>
        <w:widowControl w:val="0"/>
        <w:tabs>
          <w:tab w:val="left" w:pos="1086"/>
        </w:tabs>
        <w:spacing w:before="120" w:after="120"/>
        <w:ind w:firstLine="720"/>
        <w:jc w:val="both"/>
      </w:pPr>
      <w:r w:rsidRPr="00CD70D7">
        <w:t>- Điều kiện thanh toán: Được cung cấp đầy đủ hóa đơn, biên bản nghiệm thu hàng hóa mỗi kỳ, chứng từ hợp lệ.</w:t>
      </w:r>
    </w:p>
    <w:p w14:paraId="2577EF2A" w14:textId="77777777" w:rsidR="00CD70D7" w:rsidRPr="00CD70D7" w:rsidRDefault="00CD70D7" w:rsidP="00CD70D7">
      <w:pPr>
        <w:tabs>
          <w:tab w:val="left" w:pos="1090"/>
        </w:tabs>
        <w:spacing w:before="120" w:after="120"/>
        <w:ind w:firstLine="720"/>
        <w:jc w:val="both"/>
        <w:rPr>
          <w:b/>
          <w:lang w:val="vi-VN"/>
        </w:rPr>
      </w:pPr>
      <w:r w:rsidRPr="00CD70D7">
        <w:t>- Thời hạn thanh toán: 90 ngày</w:t>
      </w:r>
      <w:r w:rsidRPr="00CD70D7">
        <w:rPr>
          <w:b/>
        </w:rPr>
        <w:t>.</w:t>
      </w:r>
    </w:p>
    <w:p w14:paraId="051ED45C" w14:textId="74A9C85E" w:rsidR="00CD70D7" w:rsidRPr="00CD70D7" w:rsidRDefault="00CD70D7" w:rsidP="00CD70D7">
      <w:pPr>
        <w:tabs>
          <w:tab w:val="left" w:pos="1170"/>
        </w:tabs>
        <w:spacing w:before="120" w:after="120"/>
        <w:ind w:firstLine="720"/>
        <w:jc w:val="both"/>
        <w:rPr>
          <w:lang w:val="vi-VN"/>
        </w:rPr>
      </w:pPr>
      <w:r w:rsidRPr="00CD70D7">
        <w:rPr>
          <w:lang w:eastAsia="vi-VN"/>
        </w:rPr>
        <w:t xml:space="preserve">5. Các thông tin khác: </w:t>
      </w:r>
      <w:r w:rsidR="00355D7A">
        <w:t>G</w:t>
      </w:r>
      <w:r w:rsidRPr="00CD70D7">
        <w:t xml:space="preserve">ửi kèm theo các tài liệu chứng minh tính năng, thông số kỹ thuật </w:t>
      </w:r>
      <w:r w:rsidRPr="00CD70D7">
        <w:rPr>
          <w:lang w:val="vi-VN"/>
        </w:rPr>
        <w:t>c</w:t>
      </w:r>
      <w:r w:rsidRPr="00CD70D7">
        <w:t>ủa các mặt hàng báo giá, các yêu cầu về địa điểm cung cấp, lắp đặt, các yêu cầu về vận chuyển, cung cấp, lắp đặt, bảo quản thiết bị y tế, thời gian giao hàng dự kiến và các thông tin liên quan khác.</w:t>
      </w:r>
    </w:p>
    <w:p w14:paraId="56C37FA8" w14:textId="3078B00A" w:rsidR="00CD70D7" w:rsidRPr="00CD70D7" w:rsidRDefault="00CD70D7" w:rsidP="00355D7A">
      <w:pPr>
        <w:tabs>
          <w:tab w:val="left" w:pos="6160"/>
        </w:tabs>
        <w:spacing w:before="120" w:after="120"/>
        <w:ind w:firstLine="720"/>
        <w:jc w:val="both"/>
      </w:pPr>
      <w:r w:rsidRPr="00CD70D7">
        <w:t>Trân trọng./.</w:t>
      </w:r>
    </w:p>
    <w:p w14:paraId="25052B5F" w14:textId="77777777" w:rsidR="00CD70D7" w:rsidRPr="00355D7A" w:rsidRDefault="00CD70D7" w:rsidP="00CD70D7">
      <w:pPr>
        <w:tabs>
          <w:tab w:val="left" w:pos="6160"/>
        </w:tabs>
        <w:spacing w:before="120" w:after="120"/>
        <w:ind w:firstLine="720"/>
        <w:jc w:val="both"/>
        <w:rPr>
          <w:sz w:val="14"/>
          <w:lang w:val="pt-BR"/>
        </w:rPr>
      </w:pPr>
    </w:p>
    <w:p w14:paraId="525D9F19" w14:textId="77777777" w:rsidR="00CD70D7" w:rsidRPr="00CD70D7" w:rsidRDefault="00CD70D7" w:rsidP="00CD70D7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CD70D7"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CD70D7" w:rsidRPr="00CD70D7" w14:paraId="52E9FF98" w14:textId="77777777" w:rsidTr="00355D7A">
        <w:trPr>
          <w:jc w:val="center"/>
        </w:trPr>
        <w:tc>
          <w:tcPr>
            <w:tcW w:w="4613" w:type="dxa"/>
          </w:tcPr>
          <w:p w14:paraId="6CAD55C6" w14:textId="77777777" w:rsidR="00CD70D7" w:rsidRPr="00CD70D7" w:rsidRDefault="00CD70D7" w:rsidP="00CD70D7">
            <w:r w:rsidRPr="00CD70D7">
              <w:rPr>
                <w:b/>
                <w:i/>
                <w:sz w:val="24"/>
                <w:szCs w:val="24"/>
              </w:rPr>
              <w:t>Nơi nhận:</w:t>
            </w:r>
            <w:r w:rsidRPr="00CD70D7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50C08903" w14:textId="77777777" w:rsidR="00CD70D7" w:rsidRPr="00CD70D7" w:rsidRDefault="00CD70D7" w:rsidP="00CD70D7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CD70D7">
              <w:rPr>
                <w:sz w:val="22"/>
                <w:szCs w:val="22"/>
              </w:rPr>
              <w:t xml:space="preserve">Như trên; </w:t>
            </w:r>
          </w:p>
          <w:p w14:paraId="05550A24" w14:textId="77777777" w:rsidR="00CD70D7" w:rsidRPr="00CD70D7" w:rsidRDefault="00CD70D7" w:rsidP="00CD70D7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CD70D7">
              <w:rPr>
                <w:sz w:val="22"/>
                <w:szCs w:val="22"/>
              </w:rPr>
              <w:t>Trang TTĐT BV;</w:t>
            </w:r>
          </w:p>
          <w:p w14:paraId="2A72B696" w14:textId="586DF8C2" w:rsidR="00CD70D7" w:rsidRPr="00CD70D7" w:rsidRDefault="00CD70D7" w:rsidP="00CD70D7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CD70D7">
              <w:rPr>
                <w:sz w:val="22"/>
                <w:szCs w:val="22"/>
              </w:rPr>
              <w:t>Lưu: VT, KD.</w:t>
            </w:r>
            <w:r w:rsidRPr="00CD70D7">
              <w:rPr>
                <w:sz w:val="22"/>
                <w:szCs w:val="22"/>
                <w:lang w:val="vi-VN"/>
              </w:rPr>
              <w:t xml:space="preserve"> </w:t>
            </w:r>
            <w:r w:rsidR="00355D7A">
              <w:rPr>
                <w:sz w:val="22"/>
                <w:szCs w:val="22"/>
              </w:rPr>
              <w:t xml:space="preserve">Diep </w:t>
            </w:r>
            <w:r w:rsidRPr="00CD70D7">
              <w:rPr>
                <w:sz w:val="22"/>
                <w:szCs w:val="22"/>
              </w:rPr>
              <w:t>(02b)</w:t>
            </w:r>
            <w:r w:rsidR="00355D7A">
              <w:rPr>
                <w:sz w:val="22"/>
                <w:szCs w:val="22"/>
              </w:rPr>
              <w:t>.</w:t>
            </w:r>
            <w:r w:rsidRPr="00CD70D7">
              <w:rPr>
                <w:sz w:val="22"/>
                <w:szCs w:val="22"/>
              </w:rPr>
              <w:t xml:space="preserve"> </w:t>
            </w:r>
          </w:p>
          <w:p w14:paraId="0DD3521E" w14:textId="77777777" w:rsidR="00CD70D7" w:rsidRPr="00CD70D7" w:rsidRDefault="00CD70D7" w:rsidP="00CD70D7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7F01F028" w14:textId="77777777" w:rsidR="00CD70D7" w:rsidRPr="00CD70D7" w:rsidRDefault="00CD70D7" w:rsidP="00CD70D7">
            <w:pPr>
              <w:jc w:val="center"/>
              <w:rPr>
                <w:b/>
              </w:rPr>
            </w:pPr>
            <w:r w:rsidRPr="00CD70D7">
              <w:rPr>
                <w:b/>
              </w:rPr>
              <w:t xml:space="preserve">      GIÁM ĐỐC</w:t>
            </w:r>
          </w:p>
          <w:p w14:paraId="086735A1" w14:textId="77777777" w:rsidR="00CD70D7" w:rsidRPr="00CD70D7" w:rsidRDefault="00CD70D7" w:rsidP="00CD70D7">
            <w:pPr>
              <w:jc w:val="center"/>
              <w:rPr>
                <w:b/>
              </w:rPr>
            </w:pPr>
          </w:p>
          <w:p w14:paraId="47EDF84B" w14:textId="77777777" w:rsidR="00CD70D7" w:rsidRPr="00CD70D7" w:rsidRDefault="00CD70D7" w:rsidP="00CD70D7">
            <w:pPr>
              <w:rPr>
                <w:b/>
                <w:sz w:val="44"/>
              </w:rPr>
            </w:pPr>
          </w:p>
          <w:p w14:paraId="0F5B41F8" w14:textId="77777777" w:rsidR="00CD70D7" w:rsidRPr="00CD70D7" w:rsidRDefault="00CD70D7" w:rsidP="00CD70D7">
            <w:pPr>
              <w:jc w:val="center"/>
              <w:rPr>
                <w:b/>
                <w:sz w:val="26"/>
              </w:rPr>
            </w:pPr>
          </w:p>
          <w:p w14:paraId="3AFE9013" w14:textId="77777777" w:rsidR="00CD70D7" w:rsidRPr="00CD70D7" w:rsidRDefault="00CD70D7" w:rsidP="00CD70D7">
            <w:pPr>
              <w:jc w:val="center"/>
              <w:rPr>
                <w:sz w:val="24"/>
                <w:szCs w:val="24"/>
              </w:rPr>
            </w:pPr>
            <w:r w:rsidRPr="00CD70D7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0F5B520" w14:textId="77777777" w:rsidR="009B2754" w:rsidRPr="002A73CA" w:rsidRDefault="009B2754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color w:val="FF0000"/>
        </w:rPr>
        <w:sectPr w:rsidR="009B2754" w:rsidRPr="002A73CA" w:rsidSect="00355D7A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08630D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B13ABD" w:rsidRDefault="00B91DED" w:rsidP="00B91DED">
            <w:pPr>
              <w:rPr>
                <w:b/>
                <w:bCs/>
                <w:color w:val="000000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>BÁO GIÁ</w:t>
            </w:r>
            <w:r w:rsidR="009D31AA" w:rsidRPr="00B13ABD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08630D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355D7A" w:rsidRDefault="00B91DED" w:rsidP="00B13ABD">
            <w:pPr>
              <w:spacing w:before="240" w:after="240"/>
              <w:rPr>
                <w:bCs/>
                <w:color w:val="000000"/>
                <w:lang w:val="vi-VN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355D7A">
              <w:rPr>
                <w:bCs/>
                <w:color w:val="000000"/>
              </w:rPr>
              <w:t xml:space="preserve">Kính gửi: </w:t>
            </w:r>
            <w:r w:rsidR="009D31AA" w:rsidRPr="00355D7A">
              <w:rPr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08630D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355D7A">
            <w:pPr>
              <w:jc w:val="both"/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355D7A">
            <w:pPr>
              <w:jc w:val="both"/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355D7A">
            <w:pPr>
              <w:jc w:val="both"/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07F7145C" w:rsidR="009D31AA" w:rsidRDefault="00B13ABD" w:rsidP="002A73CA">
            <w:pPr>
              <w:rPr>
                <w:color w:val="000000"/>
              </w:rPr>
            </w:pPr>
            <w:r w:rsidRPr="002A73CA">
              <w:rPr>
                <w:color w:val="000000"/>
              </w:rPr>
              <w:t xml:space="preserve">1. </w:t>
            </w:r>
            <w:r w:rsidR="009D31AA" w:rsidRPr="002A73CA">
              <w:rPr>
                <w:color w:val="000000"/>
              </w:rPr>
              <w:t>Báo giá cho các thiết bị y tế và dịch vụ li</w:t>
            </w:r>
            <w:r w:rsidR="009D31AA" w:rsidRPr="002A73CA">
              <w:rPr>
                <w:color w:val="000000"/>
                <w:lang w:val="vi-VN"/>
              </w:rPr>
              <w:t>ê</w:t>
            </w:r>
            <w:r w:rsidR="009D31AA" w:rsidRPr="002A73CA">
              <w:rPr>
                <w:color w:val="000000"/>
              </w:rPr>
              <w:t>n quan</w:t>
            </w:r>
          </w:p>
          <w:p w14:paraId="0DED1C25" w14:textId="77777777" w:rsidR="00355D7A" w:rsidRPr="00355D7A" w:rsidRDefault="00355D7A" w:rsidP="002A73CA">
            <w:pPr>
              <w:rPr>
                <w:color w:val="000000"/>
                <w:sz w:val="8"/>
              </w:rPr>
            </w:pPr>
          </w:p>
          <w:p w14:paraId="69BC0EAF" w14:textId="77777777" w:rsidR="00B13ABD" w:rsidRPr="00B13ABD" w:rsidRDefault="00B13ABD" w:rsidP="00B13ABD">
            <w:pPr>
              <w:pStyle w:val="ListParagraph"/>
              <w:rPr>
                <w:color w:val="000000"/>
                <w:sz w:val="12"/>
                <w:szCs w:val="12"/>
                <w:lang w:val="vi-VN"/>
              </w:rPr>
            </w:pP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2A73C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77D7F7B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4EC1142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BC7D971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CED873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F680C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BB8405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C4839D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1EFA0909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 w14:paraId="7939606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7B99D18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14:paraId="17159CE3" w14:textId="666F130C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>Mã HS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33080A4" w14:textId="4E3AAC25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giá dự thầu</w:t>
                  </w:r>
                </w:p>
                <w:p w14:paraId="66C3D4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01C35E39" w14:textId="3BEAD9CA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Thành tiền</w:t>
                  </w:r>
                </w:p>
                <w:p w14:paraId="3F0274F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  <w:vAlign w:val="center"/>
                </w:tcPr>
                <w:p w14:paraId="1824712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  <w:vAlign w:val="center"/>
                </w:tcPr>
                <w:p w14:paraId="4915F1C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9EA69B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0E6715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  <w:vAlign w:val="center"/>
                </w:tcPr>
                <w:p w14:paraId="0395F01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3BB1E5C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</w:t>
                  </w:r>
                </w:p>
              </w:tc>
              <w:tc>
                <w:tcPr>
                  <w:tcW w:w="1051" w:type="dxa"/>
                  <w:vAlign w:val="center"/>
                </w:tcPr>
                <w:p w14:paraId="044BB5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781FF7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131D55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FD1458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A65930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32C8395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3A507C1A" w14:textId="464C8DBB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01E61195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1B82A0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23D4204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331A78D6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  <w:vAlign w:val="center"/>
                </w:tcPr>
                <w:p w14:paraId="0B0257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E6DD6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AC96075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A865BD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2F7D4F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199A6B02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5CCA3626" w14:textId="5407E738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4E3E31B9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2A493E8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4306730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6976BD4F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</w:tr>
            <w:tr w:rsidR="00B91DED" w:rsidRPr="00A369E2" w14:paraId="628CF216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  <w:vAlign w:val="center"/>
                </w:tcPr>
                <w:p w14:paraId="616177D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40744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ABAF3C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1272DE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717CBA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0B4978A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1CA5BF2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1DA264DA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6540EA2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A03CF7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2A73C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  <w:vAlign w:val="center"/>
                </w:tcPr>
                <w:p w14:paraId="5430116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D34" w14:textId="77777777" w:rsidR="00B13ABD" w:rsidRPr="00B13ABD" w:rsidRDefault="00B13ABD" w:rsidP="009D31AA">
            <w:pPr>
              <w:rPr>
                <w:i/>
                <w:iCs/>
                <w:color w:val="000000"/>
                <w:sz w:val="14"/>
                <w:szCs w:val="14"/>
              </w:rPr>
            </w:pPr>
          </w:p>
          <w:p w14:paraId="3D200EDB" w14:textId="78174558" w:rsidR="009D31AA" w:rsidRPr="007C7344" w:rsidRDefault="009D31AA" w:rsidP="00355D7A">
            <w:pPr>
              <w:jc w:val="both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08630D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669EF9FA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3398" w14:textId="77777777" w:rsidR="00B13ABD" w:rsidRDefault="00B13ABD" w:rsidP="00336785">
            <w:pPr>
              <w:rPr>
                <w:color w:val="000000"/>
              </w:rPr>
            </w:pPr>
          </w:p>
          <w:p w14:paraId="422BBFC4" w14:textId="77777777" w:rsidR="00355D7A" w:rsidRDefault="00355D7A" w:rsidP="00336785">
            <w:pPr>
              <w:rPr>
                <w:color w:val="000000"/>
              </w:rPr>
            </w:pPr>
          </w:p>
          <w:p w14:paraId="797E0929" w14:textId="7BE8EC2B" w:rsidR="009D31AA" w:rsidRPr="007C7344" w:rsidRDefault="009D31AA" w:rsidP="00355D7A">
            <w:pPr>
              <w:jc w:val="both"/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3. Chúng tôi cam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08630D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55D7A">
            <w:pPr>
              <w:jc w:val="both"/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lastRenderedPageBreak/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55D7A">
            <w:pPr>
              <w:jc w:val="both"/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55D7A">
            <w:pPr>
              <w:jc w:val="both"/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  <w:bookmarkStart w:id="0" w:name="_GoBack"/>
            <w:bookmarkEnd w:id="0"/>
          </w:p>
        </w:tc>
      </w:tr>
      <w:tr w:rsidR="009D31AA" w:rsidRPr="007C7344" w14:paraId="48717E12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55D7A">
            <w:pPr>
              <w:jc w:val="both"/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11A92820" w:rsidR="009D31AA" w:rsidRPr="007C7344" w:rsidRDefault="009D31AA" w:rsidP="00355D7A">
            <w:pPr>
              <w:jc w:val="both"/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  <w:r w:rsidR="00B13ABD">
              <w:rPr>
                <w:color w:val="000000"/>
              </w:rPr>
              <w:t>/.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08630D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08630D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08630D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08630D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08630D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08630D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08630D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52D7BA82" w14:textId="77777777" w:rsidTr="0008630D">
        <w:trPr>
          <w:trHeight w:val="300"/>
        </w:trPr>
        <w:tc>
          <w:tcPr>
            <w:tcW w:w="1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03EFBE0B" w14:textId="77777777" w:rsidTr="0008630D">
        <w:trPr>
          <w:trHeight w:val="300"/>
        </w:trPr>
        <w:tc>
          <w:tcPr>
            <w:tcW w:w="23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D03596B" w14:textId="77777777" w:rsidTr="0008630D">
        <w:trPr>
          <w:trHeight w:val="300"/>
        </w:trPr>
        <w:tc>
          <w:tcPr>
            <w:tcW w:w="20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64F2" w14:textId="06CF33A3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4D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09E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57FC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8007669" w14:textId="77777777" w:rsidTr="0008630D">
        <w:trPr>
          <w:trHeight w:val="76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A4833" w14:textId="55FCA2E5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990E5C" w:rsidSect="00355D7A">
      <w:headerReference w:type="first" r:id="rId12"/>
      <w:pgSz w:w="16840" w:h="11907" w:orient="landscape" w:code="9"/>
      <w:pgMar w:top="1134" w:right="1134" w:bottom="1134" w:left="1134" w:header="567" w:footer="567" w:gutter="0"/>
      <w:pgNumType w:start="1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B8C4A" w14:textId="77777777" w:rsidR="00E64E56" w:rsidRDefault="00E64E56">
      <w:r>
        <w:separator/>
      </w:r>
    </w:p>
  </w:endnote>
  <w:endnote w:type="continuationSeparator" w:id="0">
    <w:p w14:paraId="2EE75C2A" w14:textId="77777777" w:rsidR="00E64E56" w:rsidRDefault="00E6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19869" w14:textId="77777777" w:rsidR="00E64E56" w:rsidRDefault="00E64E56">
      <w:r>
        <w:separator/>
      </w:r>
    </w:p>
  </w:footnote>
  <w:footnote w:type="continuationSeparator" w:id="0">
    <w:p w14:paraId="3FE76D67" w14:textId="77777777" w:rsidR="00E64E56" w:rsidRDefault="00E64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/>
    <w:sdtContent>
      <w:p w14:paraId="67469274" w14:textId="3C5753FD" w:rsidR="00C7574A" w:rsidRPr="00607C30" w:rsidRDefault="00C7574A" w:rsidP="00607C30">
        <w:pPr>
          <w:pStyle w:val="Header"/>
          <w:jc w:val="center"/>
          <w:rPr>
            <w:sz w:val="24"/>
            <w:szCs w:val="24"/>
          </w:rPr>
        </w:pPr>
        <w:r w:rsidRPr="00607C30">
          <w:rPr>
            <w:sz w:val="26"/>
            <w:szCs w:val="26"/>
          </w:rPr>
          <w:fldChar w:fldCharType="begin"/>
        </w:r>
        <w:r w:rsidRPr="00607C30">
          <w:rPr>
            <w:sz w:val="26"/>
            <w:szCs w:val="26"/>
          </w:rPr>
          <w:instrText xml:space="preserve"> PAGE   \* MERGEFORMAT </w:instrText>
        </w:r>
        <w:r w:rsidRPr="00607C30">
          <w:rPr>
            <w:sz w:val="26"/>
            <w:szCs w:val="26"/>
          </w:rPr>
          <w:fldChar w:fldCharType="separate"/>
        </w:r>
        <w:r w:rsidR="00355D7A">
          <w:rPr>
            <w:noProof/>
            <w:sz w:val="26"/>
            <w:szCs w:val="26"/>
          </w:rPr>
          <w:t>2</w:t>
        </w:r>
        <w:r w:rsidRPr="00607C3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7348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EBC092" w14:textId="5F504D8B" w:rsidR="0008630D" w:rsidRDefault="00E64E56">
        <w:pPr>
          <w:pStyle w:val="Header"/>
          <w:jc w:val="center"/>
        </w:pPr>
      </w:p>
    </w:sdtContent>
  </w:sdt>
  <w:p w14:paraId="5E1987D4" w14:textId="77777777" w:rsidR="0008630D" w:rsidRDefault="000863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37AA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8630D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3D30"/>
    <w:rsid w:val="00117CA5"/>
    <w:rsid w:val="00121ADF"/>
    <w:rsid w:val="001239BD"/>
    <w:rsid w:val="0012717E"/>
    <w:rsid w:val="00127954"/>
    <w:rsid w:val="0013121A"/>
    <w:rsid w:val="00131322"/>
    <w:rsid w:val="001325CB"/>
    <w:rsid w:val="00136B55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3777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114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5CB"/>
    <w:rsid w:val="002717E5"/>
    <w:rsid w:val="002746F8"/>
    <w:rsid w:val="00275432"/>
    <w:rsid w:val="0027561F"/>
    <w:rsid w:val="00280716"/>
    <w:rsid w:val="0028608E"/>
    <w:rsid w:val="00291403"/>
    <w:rsid w:val="00293CE8"/>
    <w:rsid w:val="0029425B"/>
    <w:rsid w:val="00295209"/>
    <w:rsid w:val="002A0DB7"/>
    <w:rsid w:val="002A188A"/>
    <w:rsid w:val="002A1FED"/>
    <w:rsid w:val="002A2ABE"/>
    <w:rsid w:val="002A483C"/>
    <w:rsid w:val="002A73CA"/>
    <w:rsid w:val="002A7601"/>
    <w:rsid w:val="002A7ABB"/>
    <w:rsid w:val="002B04A1"/>
    <w:rsid w:val="002B15A3"/>
    <w:rsid w:val="002B1627"/>
    <w:rsid w:val="002B177A"/>
    <w:rsid w:val="002B1F15"/>
    <w:rsid w:val="002B2EEF"/>
    <w:rsid w:val="002B4ED9"/>
    <w:rsid w:val="002B4FE8"/>
    <w:rsid w:val="002C240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366D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55D7A"/>
    <w:rsid w:val="0036582E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1394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BF0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146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0DEB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0A28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164D"/>
    <w:rsid w:val="004D2E41"/>
    <w:rsid w:val="004D38D8"/>
    <w:rsid w:val="004D42CC"/>
    <w:rsid w:val="004D5444"/>
    <w:rsid w:val="004D58EC"/>
    <w:rsid w:val="004D606C"/>
    <w:rsid w:val="004D61EB"/>
    <w:rsid w:val="004D6371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4AE6"/>
    <w:rsid w:val="00506CF2"/>
    <w:rsid w:val="00515EA9"/>
    <w:rsid w:val="00516985"/>
    <w:rsid w:val="005221CA"/>
    <w:rsid w:val="00522EA0"/>
    <w:rsid w:val="0052659B"/>
    <w:rsid w:val="00527413"/>
    <w:rsid w:val="00527D91"/>
    <w:rsid w:val="00530536"/>
    <w:rsid w:val="005305EE"/>
    <w:rsid w:val="005323A1"/>
    <w:rsid w:val="00533B58"/>
    <w:rsid w:val="00533EDB"/>
    <w:rsid w:val="00534260"/>
    <w:rsid w:val="00535748"/>
    <w:rsid w:val="00537544"/>
    <w:rsid w:val="00540143"/>
    <w:rsid w:val="00540C78"/>
    <w:rsid w:val="00540DFF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6D8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07C30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3607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4C64"/>
    <w:rsid w:val="006F5339"/>
    <w:rsid w:val="006F6BE6"/>
    <w:rsid w:val="006F6FCB"/>
    <w:rsid w:val="00700612"/>
    <w:rsid w:val="00703DA3"/>
    <w:rsid w:val="00707486"/>
    <w:rsid w:val="00710066"/>
    <w:rsid w:val="00712CD9"/>
    <w:rsid w:val="00714BBF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0E57"/>
    <w:rsid w:val="00782B4F"/>
    <w:rsid w:val="00783775"/>
    <w:rsid w:val="007862B4"/>
    <w:rsid w:val="00786AA6"/>
    <w:rsid w:val="00787575"/>
    <w:rsid w:val="00792B4A"/>
    <w:rsid w:val="00794735"/>
    <w:rsid w:val="00794D4B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B39A6"/>
    <w:rsid w:val="007C0D85"/>
    <w:rsid w:val="007C13B4"/>
    <w:rsid w:val="007C4EB5"/>
    <w:rsid w:val="007C59B0"/>
    <w:rsid w:val="007C7344"/>
    <w:rsid w:val="007C7477"/>
    <w:rsid w:val="007D1CA8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0591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26510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57121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3B8"/>
    <w:rsid w:val="008A0C2D"/>
    <w:rsid w:val="008A2931"/>
    <w:rsid w:val="008A3B7B"/>
    <w:rsid w:val="008A43EA"/>
    <w:rsid w:val="008A5403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D635A"/>
    <w:rsid w:val="008E0A8E"/>
    <w:rsid w:val="008E31C9"/>
    <w:rsid w:val="008E52D4"/>
    <w:rsid w:val="008E574F"/>
    <w:rsid w:val="008E5BB7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0B6A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58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B2754"/>
    <w:rsid w:val="009C05EA"/>
    <w:rsid w:val="009C13C4"/>
    <w:rsid w:val="009C13F1"/>
    <w:rsid w:val="009C22B4"/>
    <w:rsid w:val="009C687B"/>
    <w:rsid w:val="009C70BA"/>
    <w:rsid w:val="009C7AB6"/>
    <w:rsid w:val="009D31AA"/>
    <w:rsid w:val="009D41B6"/>
    <w:rsid w:val="009D5490"/>
    <w:rsid w:val="009D5FE6"/>
    <w:rsid w:val="009D6399"/>
    <w:rsid w:val="009D727F"/>
    <w:rsid w:val="009E00F6"/>
    <w:rsid w:val="009E1DA9"/>
    <w:rsid w:val="009E6BEB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2C4A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3ABD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3596"/>
    <w:rsid w:val="00B3456B"/>
    <w:rsid w:val="00B36034"/>
    <w:rsid w:val="00B40A1F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5AC"/>
    <w:rsid w:val="00BB0D85"/>
    <w:rsid w:val="00BB2021"/>
    <w:rsid w:val="00BB2C15"/>
    <w:rsid w:val="00BB3535"/>
    <w:rsid w:val="00BB4D9C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381A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15F30"/>
    <w:rsid w:val="00C22388"/>
    <w:rsid w:val="00C2456D"/>
    <w:rsid w:val="00C26DF5"/>
    <w:rsid w:val="00C27AD8"/>
    <w:rsid w:val="00C3057A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0286"/>
    <w:rsid w:val="00C57D72"/>
    <w:rsid w:val="00C609DF"/>
    <w:rsid w:val="00C62DA2"/>
    <w:rsid w:val="00C655D7"/>
    <w:rsid w:val="00C70B3D"/>
    <w:rsid w:val="00C71D38"/>
    <w:rsid w:val="00C732F5"/>
    <w:rsid w:val="00C74186"/>
    <w:rsid w:val="00C748B2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29C0"/>
    <w:rsid w:val="00C96EDF"/>
    <w:rsid w:val="00C9709F"/>
    <w:rsid w:val="00C9739A"/>
    <w:rsid w:val="00C97A6C"/>
    <w:rsid w:val="00CA4A24"/>
    <w:rsid w:val="00CB0A9A"/>
    <w:rsid w:val="00CB6A7F"/>
    <w:rsid w:val="00CC1BE3"/>
    <w:rsid w:val="00CC1E64"/>
    <w:rsid w:val="00CC2DDF"/>
    <w:rsid w:val="00CC4946"/>
    <w:rsid w:val="00CC6483"/>
    <w:rsid w:val="00CC78DA"/>
    <w:rsid w:val="00CD5A96"/>
    <w:rsid w:val="00CD70D7"/>
    <w:rsid w:val="00CE1476"/>
    <w:rsid w:val="00CE1D69"/>
    <w:rsid w:val="00CE4212"/>
    <w:rsid w:val="00CF0009"/>
    <w:rsid w:val="00CF342D"/>
    <w:rsid w:val="00CF36F9"/>
    <w:rsid w:val="00CF7131"/>
    <w:rsid w:val="00CF7949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180"/>
    <w:rsid w:val="00E522CC"/>
    <w:rsid w:val="00E617F5"/>
    <w:rsid w:val="00E6187B"/>
    <w:rsid w:val="00E634D0"/>
    <w:rsid w:val="00E64E56"/>
    <w:rsid w:val="00E650A4"/>
    <w:rsid w:val="00E669C8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1A2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260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54"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54"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3CCCB8-2F59-4850-B65A-F78EB5C0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795</cp:revision>
  <cp:lastPrinted>2019-04-08T03:02:00Z</cp:lastPrinted>
  <dcterms:created xsi:type="dcterms:W3CDTF">2023-05-05T00:16:00Z</dcterms:created>
  <dcterms:modified xsi:type="dcterms:W3CDTF">2025-03-31T06:42:00Z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